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71" w:rsidRPr="00320971" w:rsidRDefault="00320971" w:rsidP="00320971">
      <w:pPr>
        <w:jc w:val="center"/>
        <w:rPr>
          <w:rFonts w:ascii="Times New Roman" w:hAnsi="Times New Roman" w:cs="Times New Roman"/>
          <w:b/>
          <w:sz w:val="28"/>
          <w:szCs w:val="28"/>
        </w:rPr>
      </w:pPr>
      <w:r w:rsidRPr="00320971">
        <w:rPr>
          <w:rFonts w:ascii="Times New Roman" w:hAnsi="Times New Roman" w:cs="Times New Roman"/>
          <w:b/>
          <w:sz w:val="28"/>
          <w:szCs w:val="28"/>
        </w:rPr>
        <w:t xml:space="preserve">АДМИНИСТРАЦИЯ СЕЛЬСКОГО ПОСЕЛЕНИЯ </w:t>
      </w:r>
      <w:r w:rsidR="00236EAB">
        <w:rPr>
          <w:rFonts w:ascii="Times New Roman" w:hAnsi="Times New Roman" w:cs="Times New Roman"/>
          <w:b/>
          <w:sz w:val="28"/>
          <w:szCs w:val="28"/>
        </w:rPr>
        <w:t>ПОДЛУБОВСКИЙ СЕЛЬСОВЕТ</w:t>
      </w:r>
      <w:r w:rsidRPr="00320971">
        <w:rPr>
          <w:rFonts w:ascii="Times New Roman" w:hAnsi="Times New Roman" w:cs="Times New Roman"/>
          <w:b/>
          <w:sz w:val="28"/>
          <w:szCs w:val="28"/>
        </w:rPr>
        <w:t xml:space="preserve"> МУНИЦИПАЛЬНОГО РАЙОНА КАРМАСКАЛИНСКИЙ РАЙОН РЕСПУБЛИКИ БАШКОРТОСТАН</w:t>
      </w:r>
    </w:p>
    <w:p w:rsidR="00320971" w:rsidRPr="00320971" w:rsidRDefault="00320971" w:rsidP="00320971">
      <w:pPr>
        <w:jc w:val="center"/>
        <w:rPr>
          <w:rFonts w:ascii="Times New Roman" w:hAnsi="Times New Roman" w:cs="Times New Roman"/>
          <w:b/>
          <w:sz w:val="24"/>
          <w:szCs w:val="24"/>
        </w:rPr>
      </w:pPr>
    </w:p>
    <w:p w:rsidR="00320971" w:rsidRPr="00320971" w:rsidRDefault="00320971" w:rsidP="00320971">
      <w:pPr>
        <w:jc w:val="center"/>
        <w:rPr>
          <w:rFonts w:ascii="Times New Roman" w:hAnsi="Times New Roman" w:cs="Times New Roman"/>
          <w:b/>
        </w:rPr>
      </w:pPr>
    </w:p>
    <w:p w:rsidR="00320971" w:rsidRPr="00320971" w:rsidRDefault="00D66062" w:rsidP="008F78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0E69BC" w:rsidRPr="00D600BD" w:rsidRDefault="000E69BC" w:rsidP="008F7814">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E69BC" w:rsidRPr="00320971" w:rsidRDefault="000E69BC" w:rsidP="00320971">
      <w:pPr>
        <w:spacing w:after="0" w:line="240" w:lineRule="auto"/>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 xml:space="preserve">Постановка граждан на учет в качестве лиц, имеющих право на </w:t>
      </w:r>
      <w:r w:rsidR="002B6B23" w:rsidRPr="00320971">
        <w:rPr>
          <w:rFonts w:ascii="Times New Roman" w:hAnsi="Times New Roman" w:cs="Times New Roman"/>
          <w:b/>
          <w:sz w:val="28"/>
          <w:szCs w:val="28"/>
        </w:rPr>
        <w:t>предоставление земельных участков в собственность бесплатно для индивидуального жилищного строительства</w:t>
      </w:r>
      <w:r w:rsidRPr="00320971">
        <w:rPr>
          <w:rFonts w:ascii="Times New Roman" w:eastAsia="Times New Roman" w:hAnsi="Times New Roman" w:cs="Times New Roman"/>
          <w:b/>
          <w:sz w:val="28"/>
          <w:szCs w:val="28"/>
          <w:lang w:eastAsia="ru-RU"/>
        </w:rPr>
        <w:t>»</w:t>
      </w:r>
    </w:p>
    <w:p w:rsidR="000E69BC" w:rsidRDefault="000E69BC" w:rsidP="0032097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0971">
        <w:rPr>
          <w:rFonts w:ascii="Times New Roman" w:hAnsi="Times New Roman" w:cs="Times New Roman"/>
          <w:b/>
          <w:bCs/>
          <w:sz w:val="28"/>
          <w:szCs w:val="28"/>
        </w:rPr>
        <w:t xml:space="preserve">в </w:t>
      </w:r>
      <w:r w:rsidR="00320971" w:rsidRPr="00320971">
        <w:rPr>
          <w:rFonts w:ascii="Times New Roman" w:hAnsi="Times New Roman" w:cs="Times New Roman"/>
          <w:b/>
          <w:bCs/>
          <w:sz w:val="28"/>
          <w:szCs w:val="28"/>
        </w:rPr>
        <w:t>администрации сельского поселения</w:t>
      </w:r>
      <w:r w:rsidR="00320971" w:rsidRPr="00320971">
        <w:rPr>
          <w:rFonts w:ascii="Times New Roman" w:hAnsi="Times New Roman" w:cs="Times New Roman"/>
          <w:bCs/>
          <w:sz w:val="28"/>
          <w:szCs w:val="28"/>
        </w:rPr>
        <w:t xml:space="preserve"> </w:t>
      </w:r>
      <w:r w:rsidR="00236EAB">
        <w:rPr>
          <w:rFonts w:ascii="Times New Roman" w:eastAsia="Calibri" w:hAnsi="Times New Roman" w:cs="Times New Roman"/>
          <w:b/>
          <w:sz w:val="28"/>
          <w:szCs w:val="28"/>
        </w:rPr>
        <w:t>Подлубовский сельсовет</w:t>
      </w:r>
      <w:r w:rsidR="00320971" w:rsidRPr="00320971">
        <w:rPr>
          <w:rFonts w:ascii="Times New Roman" w:eastAsia="Calibri" w:hAnsi="Times New Roman" w:cs="Times New Roman"/>
          <w:b/>
          <w:sz w:val="28"/>
          <w:szCs w:val="28"/>
        </w:rPr>
        <w:t xml:space="preserve"> муниципального района Кармаскалинский район Республики Башкортостан</w:t>
      </w:r>
    </w:p>
    <w:p w:rsidR="00320971" w:rsidRPr="00320971" w:rsidRDefault="00320971" w:rsidP="00320971">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320971">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320971">
        <w:rPr>
          <w:rFonts w:ascii="Times New Roman" w:hAnsi="Times New Roman" w:cs="Times New Roman"/>
          <w:sz w:val="28"/>
          <w:szCs w:val="28"/>
        </w:rPr>
        <w:t xml:space="preserve"> Администрация </w:t>
      </w:r>
      <w:r w:rsidR="00320971" w:rsidRPr="00320971">
        <w:rPr>
          <w:rFonts w:ascii="Times New Roman" w:hAnsi="Times New Roman" w:cs="Times New Roman"/>
          <w:sz w:val="28"/>
          <w:szCs w:val="28"/>
        </w:rPr>
        <w:t xml:space="preserve">сельского поселения </w:t>
      </w:r>
      <w:r w:rsidRPr="00320971">
        <w:rPr>
          <w:rFonts w:ascii="Times New Roman" w:hAnsi="Times New Roman" w:cs="Times New Roman"/>
          <w:sz w:val="28"/>
          <w:szCs w:val="28"/>
        </w:rPr>
        <w:t>ПОСТАНОВЛЯЕТ:</w:t>
      </w:r>
    </w:p>
    <w:p w:rsidR="00320971" w:rsidRDefault="000E69BC" w:rsidP="003209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320971" w:rsidRPr="00320971">
        <w:rPr>
          <w:rFonts w:ascii="Times New Roman" w:hAnsi="Times New Roman" w:cs="Times New Roman"/>
          <w:b/>
          <w:bCs/>
          <w:sz w:val="28"/>
          <w:szCs w:val="28"/>
        </w:rPr>
        <w:t xml:space="preserve"> </w:t>
      </w:r>
      <w:r w:rsidR="00320971" w:rsidRPr="00320971">
        <w:rPr>
          <w:rFonts w:ascii="Times New Roman" w:hAnsi="Times New Roman" w:cs="Times New Roman"/>
          <w:bCs/>
          <w:sz w:val="28"/>
          <w:szCs w:val="28"/>
        </w:rPr>
        <w:t xml:space="preserve">администрации сельского поселения </w:t>
      </w:r>
      <w:r w:rsidR="00236EAB">
        <w:rPr>
          <w:rFonts w:ascii="Times New Roman" w:eastAsia="Calibri" w:hAnsi="Times New Roman" w:cs="Times New Roman"/>
          <w:sz w:val="28"/>
          <w:szCs w:val="28"/>
        </w:rPr>
        <w:t>Подлубовский сельсовет</w:t>
      </w:r>
      <w:r w:rsidR="00320971" w:rsidRPr="00320971">
        <w:rPr>
          <w:rFonts w:ascii="Times New Roman" w:eastAsia="Calibri" w:hAnsi="Times New Roman" w:cs="Times New Roman"/>
          <w:sz w:val="28"/>
          <w:szCs w:val="28"/>
        </w:rPr>
        <w:t xml:space="preserve"> муниципального района Кармаскалинский район Республики Башкортостан</w:t>
      </w:r>
      <w:r w:rsidR="00320971">
        <w:rPr>
          <w:rFonts w:ascii="Times New Roman" w:eastAsia="Calibri" w:hAnsi="Times New Roman" w:cs="Times New Roman"/>
          <w:b/>
          <w:sz w:val="28"/>
          <w:szCs w:val="28"/>
        </w:rPr>
        <w:t>.</w:t>
      </w:r>
      <w:r w:rsidR="00320971" w:rsidRPr="00CE1BA8">
        <w:rPr>
          <w:rFonts w:ascii="Times New Roman" w:hAnsi="Times New Roman" w:cs="Times New Roman"/>
          <w:sz w:val="28"/>
          <w:szCs w:val="28"/>
        </w:rPr>
        <w:t xml:space="preserve"> </w:t>
      </w:r>
    </w:p>
    <w:p w:rsidR="000E69BC" w:rsidRPr="00CE1BA8" w:rsidRDefault="000E69BC" w:rsidP="00320971">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 xml:space="preserve">2. </w:t>
      </w:r>
      <w:r w:rsidR="00320971" w:rsidRPr="00320971">
        <w:rPr>
          <w:rFonts w:ascii="Times New Roman" w:hAnsi="Times New Roman" w:cs="Times New Roman"/>
          <w:sz w:val="28"/>
          <w:szCs w:val="28"/>
        </w:rPr>
        <w:t xml:space="preserve">Настоящее постановление опубликовать на официальном сайте </w:t>
      </w:r>
      <w:r w:rsidR="00320971" w:rsidRPr="00320971">
        <w:rPr>
          <w:rFonts w:ascii="Times New Roman" w:hAnsi="Times New Roman" w:cs="Times New Roman"/>
          <w:sz w:val="28"/>
          <w:szCs w:val="28"/>
          <w:lang w:val="en-US"/>
        </w:rPr>
        <w:t>karmask</w:t>
      </w:r>
      <w:r w:rsidR="00320971" w:rsidRPr="00320971">
        <w:rPr>
          <w:rFonts w:ascii="Times New Roman" w:hAnsi="Times New Roman" w:cs="Times New Roman"/>
          <w:sz w:val="28"/>
          <w:szCs w:val="28"/>
        </w:rPr>
        <w:t>.</w:t>
      </w:r>
      <w:r w:rsidR="00320971" w:rsidRPr="00320971">
        <w:rPr>
          <w:rFonts w:ascii="Times New Roman" w:hAnsi="Times New Roman" w:cs="Times New Roman"/>
          <w:sz w:val="28"/>
          <w:szCs w:val="28"/>
          <w:lang w:val="en-US"/>
        </w:rPr>
        <w:t>ru</w:t>
      </w:r>
      <w:r w:rsidR="00320971" w:rsidRPr="00320971">
        <w:rPr>
          <w:rFonts w:ascii="Times New Roman" w:hAnsi="Times New Roman" w:cs="Times New Roman"/>
          <w:sz w:val="28"/>
          <w:szCs w:val="28"/>
        </w:rPr>
        <w:t xml:space="preserve"> администрации сельского поселения </w:t>
      </w:r>
      <w:r w:rsidR="00236EAB">
        <w:rPr>
          <w:rFonts w:ascii="Times New Roman" w:hAnsi="Times New Roman" w:cs="Times New Roman"/>
          <w:sz w:val="28"/>
          <w:szCs w:val="28"/>
        </w:rPr>
        <w:t>Подлубовский сельсовет</w:t>
      </w:r>
      <w:r w:rsidR="00320971" w:rsidRPr="00320971">
        <w:rPr>
          <w:rFonts w:ascii="Times New Roman" w:hAnsi="Times New Roman" w:cs="Times New Roman"/>
          <w:sz w:val="28"/>
          <w:szCs w:val="28"/>
        </w:rPr>
        <w:t xml:space="preserve"> муниципального района Кармаскалинский район и обнародовать на информационном стенде  администрации сельского поселения </w:t>
      </w:r>
      <w:r w:rsidR="00236EAB">
        <w:rPr>
          <w:rFonts w:ascii="Times New Roman" w:hAnsi="Times New Roman" w:cs="Times New Roman"/>
          <w:sz w:val="28"/>
          <w:szCs w:val="28"/>
        </w:rPr>
        <w:t>Подлубовский сельсовет</w:t>
      </w:r>
      <w:r w:rsidR="00320971" w:rsidRPr="00320971">
        <w:rPr>
          <w:rFonts w:ascii="Times New Roman" w:hAnsi="Times New Roman" w:cs="Times New Roman"/>
          <w:sz w:val="28"/>
          <w:szCs w:val="28"/>
        </w:rPr>
        <w:t xml:space="preserve"> муниципального района Кармаскалинский район Республики Башкортостан</w:t>
      </w:r>
      <w:r w:rsidR="00320971" w:rsidRPr="00700BA5">
        <w:rPr>
          <w:sz w:val="28"/>
          <w:szCs w:val="28"/>
        </w:rPr>
        <w:t>.</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0971" w:rsidRPr="00320971" w:rsidRDefault="000E69BC" w:rsidP="00320971">
      <w:pPr>
        <w:autoSpaceDE w:val="0"/>
        <w:autoSpaceDN w:val="0"/>
        <w:adjustRightInd w:val="0"/>
        <w:ind w:firstLine="709"/>
        <w:jc w:val="both"/>
        <w:rPr>
          <w:rFonts w:ascii="Times New Roman" w:hAnsi="Times New Roman" w:cs="Times New Roman"/>
          <w:sz w:val="28"/>
          <w:szCs w:val="28"/>
        </w:rPr>
      </w:pPr>
      <w:r w:rsidRPr="00320971">
        <w:rPr>
          <w:rFonts w:ascii="Times New Roman" w:hAnsi="Times New Roman" w:cs="Times New Roman"/>
          <w:sz w:val="28"/>
          <w:szCs w:val="28"/>
        </w:rPr>
        <w:t xml:space="preserve">4. </w:t>
      </w:r>
      <w:r w:rsidR="00320971" w:rsidRPr="00320971">
        <w:rPr>
          <w:rFonts w:ascii="Times New Roman" w:hAnsi="Times New Roman" w:cs="Times New Roman"/>
          <w:sz w:val="28"/>
          <w:szCs w:val="28"/>
        </w:rPr>
        <w:t xml:space="preserve">Контроль за исполнением настоящего постановления возложить на управляющего делами администрации сельского поселения </w:t>
      </w:r>
      <w:r w:rsidR="00236EAB">
        <w:rPr>
          <w:rFonts w:ascii="Times New Roman" w:hAnsi="Times New Roman" w:cs="Times New Roman"/>
          <w:sz w:val="28"/>
          <w:szCs w:val="28"/>
        </w:rPr>
        <w:t>С.П.Уразбахтину</w:t>
      </w:r>
      <w:r w:rsidR="00320971" w:rsidRPr="00320971">
        <w:rPr>
          <w:rFonts w:ascii="Times New Roman" w:hAnsi="Times New Roman" w:cs="Times New Roman"/>
          <w:sz w:val="28"/>
          <w:szCs w:val="28"/>
        </w:rPr>
        <w:t>.</w:t>
      </w:r>
    </w:p>
    <w:p w:rsidR="00320971" w:rsidRPr="00320971" w:rsidRDefault="00320971" w:rsidP="00320971">
      <w:pPr>
        <w:autoSpaceDE w:val="0"/>
        <w:autoSpaceDN w:val="0"/>
        <w:adjustRightInd w:val="0"/>
        <w:ind w:firstLine="709"/>
        <w:jc w:val="both"/>
        <w:rPr>
          <w:rFonts w:ascii="Times New Roman" w:hAnsi="Times New Roman" w:cs="Times New Roman"/>
          <w:sz w:val="28"/>
          <w:szCs w:val="28"/>
        </w:rPr>
      </w:pPr>
    </w:p>
    <w:p w:rsidR="00320971" w:rsidRPr="00320971" w:rsidRDefault="00320971" w:rsidP="00320971">
      <w:pPr>
        <w:autoSpaceDE w:val="0"/>
        <w:autoSpaceDN w:val="0"/>
        <w:adjustRightInd w:val="0"/>
        <w:spacing w:after="0" w:line="240" w:lineRule="auto"/>
        <w:jc w:val="both"/>
        <w:rPr>
          <w:rFonts w:ascii="Times New Roman" w:hAnsi="Times New Roman" w:cs="Times New Roman"/>
          <w:sz w:val="28"/>
          <w:szCs w:val="28"/>
        </w:rPr>
      </w:pPr>
      <w:r w:rsidRPr="00320971">
        <w:rPr>
          <w:rFonts w:ascii="Times New Roman" w:hAnsi="Times New Roman" w:cs="Times New Roman"/>
          <w:sz w:val="28"/>
          <w:szCs w:val="28"/>
        </w:rPr>
        <w:t xml:space="preserve">Глава сельского поселения </w:t>
      </w:r>
    </w:p>
    <w:p w:rsidR="00320971" w:rsidRDefault="00236EAB" w:rsidP="00320971">
      <w:pPr>
        <w:tabs>
          <w:tab w:val="left" w:pos="7425"/>
        </w:tabs>
        <w:spacing w:after="0" w:line="240" w:lineRule="auto"/>
        <w:rPr>
          <w:rFonts w:ascii="Times New Roman" w:hAnsi="Times New Roman" w:cs="Times New Roman"/>
          <w:sz w:val="28"/>
          <w:szCs w:val="28"/>
        </w:rPr>
      </w:pPr>
      <w:r>
        <w:rPr>
          <w:rFonts w:ascii="Times New Roman" w:hAnsi="Times New Roman" w:cs="Times New Roman"/>
          <w:sz w:val="28"/>
          <w:szCs w:val="28"/>
        </w:rPr>
        <w:t>Подлубовский сельсовет</w:t>
      </w:r>
      <w:r w:rsidR="00320971" w:rsidRPr="00320971">
        <w:rPr>
          <w:rFonts w:ascii="Times New Roman" w:hAnsi="Times New Roman" w:cs="Times New Roman"/>
          <w:sz w:val="28"/>
          <w:szCs w:val="28"/>
        </w:rPr>
        <w:t xml:space="preserve">                                               </w:t>
      </w:r>
      <w:r>
        <w:rPr>
          <w:rFonts w:ascii="Times New Roman" w:hAnsi="Times New Roman" w:cs="Times New Roman"/>
          <w:sz w:val="28"/>
          <w:szCs w:val="28"/>
        </w:rPr>
        <w:t>Н.Н.Кадыров</w:t>
      </w:r>
    </w:p>
    <w:p w:rsidR="008F7814" w:rsidRDefault="008F7814" w:rsidP="00320971">
      <w:pPr>
        <w:tabs>
          <w:tab w:val="left" w:pos="7425"/>
        </w:tabs>
        <w:spacing w:after="0" w:line="240" w:lineRule="auto"/>
        <w:rPr>
          <w:rFonts w:ascii="Times New Roman" w:hAnsi="Times New Roman" w:cs="Times New Roman"/>
          <w:sz w:val="28"/>
          <w:szCs w:val="28"/>
        </w:rPr>
      </w:pPr>
    </w:p>
    <w:p w:rsidR="008F7814" w:rsidRDefault="00320971" w:rsidP="00320971">
      <w:pPr>
        <w:tabs>
          <w:tab w:val="left" w:pos="742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20971" w:rsidRPr="00236EAB" w:rsidRDefault="008F7814" w:rsidP="00320971">
      <w:pPr>
        <w:tabs>
          <w:tab w:val="left" w:pos="7425"/>
        </w:tabs>
        <w:spacing w:after="0" w:line="240" w:lineRule="auto"/>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00320971">
        <w:rPr>
          <w:rFonts w:ascii="Times New Roman" w:hAnsi="Times New Roman" w:cs="Times New Roman"/>
          <w:b/>
          <w:sz w:val="28"/>
          <w:szCs w:val="28"/>
        </w:rPr>
        <w:t xml:space="preserve"> </w:t>
      </w:r>
      <w:r w:rsidR="00320971" w:rsidRPr="00236EAB">
        <w:rPr>
          <w:rFonts w:ascii="Times New Roman" w:hAnsi="Times New Roman" w:cs="Times New Roman"/>
          <w:sz w:val="24"/>
          <w:szCs w:val="24"/>
        </w:rPr>
        <w:t>Утвержден</w:t>
      </w:r>
    </w:p>
    <w:p w:rsidR="00320971" w:rsidRPr="00236EAB" w:rsidRDefault="00320971" w:rsidP="00320971">
      <w:pPr>
        <w:pStyle w:val="af1"/>
        <w:ind w:firstLine="5670"/>
        <w:rPr>
          <w:rFonts w:ascii="Times New Roman" w:hAnsi="Times New Roman"/>
          <w:sz w:val="24"/>
          <w:szCs w:val="24"/>
        </w:rPr>
      </w:pPr>
      <w:r w:rsidRPr="00236EAB">
        <w:rPr>
          <w:rFonts w:ascii="Times New Roman" w:hAnsi="Times New Roman"/>
          <w:sz w:val="24"/>
          <w:szCs w:val="24"/>
        </w:rPr>
        <w:t>постановлением администрации</w:t>
      </w:r>
    </w:p>
    <w:p w:rsidR="00320971" w:rsidRPr="00236EAB" w:rsidRDefault="00320971" w:rsidP="00320971">
      <w:pPr>
        <w:pStyle w:val="af1"/>
        <w:ind w:firstLine="5670"/>
        <w:rPr>
          <w:rFonts w:ascii="Times New Roman" w:hAnsi="Times New Roman"/>
          <w:sz w:val="24"/>
          <w:szCs w:val="24"/>
        </w:rPr>
      </w:pPr>
      <w:r w:rsidRPr="00236EAB">
        <w:rPr>
          <w:rFonts w:ascii="Times New Roman" w:hAnsi="Times New Roman"/>
          <w:sz w:val="24"/>
          <w:szCs w:val="24"/>
        </w:rPr>
        <w:t>сельского поселения</w:t>
      </w:r>
    </w:p>
    <w:p w:rsidR="00320971" w:rsidRPr="00236EAB" w:rsidRDefault="00236EAB" w:rsidP="00320971">
      <w:pPr>
        <w:pStyle w:val="af1"/>
        <w:ind w:firstLine="5670"/>
        <w:rPr>
          <w:rFonts w:ascii="Times New Roman" w:hAnsi="Times New Roman"/>
          <w:sz w:val="24"/>
          <w:szCs w:val="24"/>
        </w:rPr>
      </w:pPr>
      <w:r w:rsidRPr="00236EAB">
        <w:rPr>
          <w:rFonts w:ascii="Times New Roman" w:hAnsi="Times New Roman"/>
          <w:sz w:val="24"/>
          <w:szCs w:val="24"/>
        </w:rPr>
        <w:t>Подлубовский сельсовет</w:t>
      </w:r>
      <w:r w:rsidR="00320971" w:rsidRPr="00236EAB">
        <w:rPr>
          <w:rFonts w:ascii="Times New Roman" w:hAnsi="Times New Roman"/>
          <w:sz w:val="24"/>
          <w:szCs w:val="24"/>
        </w:rPr>
        <w:t xml:space="preserve"> </w:t>
      </w:r>
    </w:p>
    <w:p w:rsidR="00320971" w:rsidRPr="00236EAB" w:rsidRDefault="00320971" w:rsidP="00320971">
      <w:pPr>
        <w:pStyle w:val="af1"/>
        <w:ind w:firstLine="5670"/>
        <w:rPr>
          <w:rFonts w:ascii="Times New Roman" w:hAnsi="Times New Roman"/>
          <w:sz w:val="24"/>
          <w:szCs w:val="24"/>
        </w:rPr>
      </w:pPr>
      <w:r w:rsidRPr="00236EAB">
        <w:rPr>
          <w:rFonts w:ascii="Times New Roman" w:hAnsi="Times New Roman"/>
          <w:sz w:val="24"/>
          <w:szCs w:val="24"/>
        </w:rPr>
        <w:t>муниципального района</w:t>
      </w:r>
    </w:p>
    <w:p w:rsidR="00320971" w:rsidRPr="00236EAB" w:rsidRDefault="00320971" w:rsidP="00320971">
      <w:pPr>
        <w:pStyle w:val="af1"/>
        <w:ind w:firstLine="5670"/>
        <w:rPr>
          <w:rFonts w:ascii="Times New Roman" w:hAnsi="Times New Roman"/>
          <w:sz w:val="24"/>
          <w:szCs w:val="24"/>
        </w:rPr>
      </w:pPr>
      <w:r w:rsidRPr="00236EAB">
        <w:rPr>
          <w:rFonts w:ascii="Times New Roman" w:hAnsi="Times New Roman"/>
          <w:sz w:val="24"/>
          <w:szCs w:val="24"/>
        </w:rPr>
        <w:t>Кармаскалинский район</w:t>
      </w:r>
    </w:p>
    <w:p w:rsidR="00320971" w:rsidRPr="00236EAB" w:rsidRDefault="00320971" w:rsidP="00320971">
      <w:pPr>
        <w:pStyle w:val="af1"/>
        <w:ind w:firstLine="5670"/>
        <w:rPr>
          <w:rFonts w:ascii="Times New Roman" w:hAnsi="Times New Roman"/>
          <w:sz w:val="24"/>
          <w:szCs w:val="24"/>
        </w:rPr>
      </w:pPr>
      <w:r w:rsidRPr="00236EAB">
        <w:rPr>
          <w:rFonts w:ascii="Times New Roman" w:hAnsi="Times New Roman"/>
          <w:sz w:val="24"/>
          <w:szCs w:val="24"/>
        </w:rPr>
        <w:t>Республики Башкортостан</w:t>
      </w:r>
    </w:p>
    <w:p w:rsidR="000E69BC" w:rsidRPr="00236EAB" w:rsidRDefault="00236EAB" w:rsidP="00236EAB">
      <w:pPr>
        <w:widowControl w:val="0"/>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0E69BC" w:rsidRPr="00236EAB">
        <w:rPr>
          <w:rFonts w:ascii="Times New Roman" w:hAnsi="Times New Roman" w:cs="Times New Roman"/>
          <w:sz w:val="24"/>
          <w:szCs w:val="24"/>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236EAB" w:rsidRDefault="000E69BC" w:rsidP="00236EAB">
      <w:pPr>
        <w:spacing w:after="0"/>
        <w:jc w:val="center"/>
        <w:rPr>
          <w:rFonts w:ascii="Times New Roman" w:eastAsia="Calibri"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00320971">
        <w:rPr>
          <w:rFonts w:ascii="Times New Roman" w:eastAsia="Times New Roman" w:hAnsi="Times New Roman" w:cs="Times New Roman"/>
          <w:b/>
          <w:sz w:val="28"/>
          <w:szCs w:val="28"/>
          <w:lang w:eastAsia="ru-RU"/>
        </w:rPr>
        <w:t xml:space="preserve"> в</w:t>
      </w:r>
      <w:r w:rsidRPr="00D600BD">
        <w:rPr>
          <w:rFonts w:ascii="Times New Roman" w:hAnsi="Times New Roman" w:cs="Times New Roman"/>
          <w:b/>
          <w:bCs/>
          <w:sz w:val="28"/>
          <w:szCs w:val="28"/>
        </w:rPr>
        <w:t xml:space="preserve"> </w:t>
      </w:r>
      <w:r w:rsidR="00320971" w:rsidRPr="00320971">
        <w:rPr>
          <w:rFonts w:ascii="Times New Roman" w:hAnsi="Times New Roman" w:cs="Times New Roman"/>
          <w:b/>
          <w:bCs/>
          <w:sz w:val="28"/>
          <w:szCs w:val="28"/>
        </w:rPr>
        <w:t xml:space="preserve">администрации сельского поселения </w:t>
      </w:r>
      <w:r w:rsidR="00236EAB">
        <w:rPr>
          <w:rFonts w:ascii="Times New Roman" w:eastAsia="Calibri" w:hAnsi="Times New Roman" w:cs="Times New Roman"/>
          <w:b/>
          <w:sz w:val="28"/>
          <w:szCs w:val="28"/>
        </w:rPr>
        <w:t>Подлубовский сельсовет</w:t>
      </w:r>
      <w:r w:rsidR="00320971" w:rsidRPr="00320971">
        <w:rPr>
          <w:rFonts w:ascii="Times New Roman" w:eastAsia="Calibri" w:hAnsi="Times New Roman" w:cs="Times New Roman"/>
          <w:b/>
          <w:sz w:val="28"/>
          <w:szCs w:val="28"/>
        </w:rPr>
        <w:t xml:space="preserve"> муниципального района </w:t>
      </w:r>
    </w:p>
    <w:p w:rsidR="000E69BC" w:rsidRPr="00320971" w:rsidRDefault="00320971" w:rsidP="00236EAB">
      <w:pPr>
        <w:spacing w:after="0"/>
        <w:jc w:val="center"/>
        <w:rPr>
          <w:rFonts w:ascii="Times New Roman" w:hAnsi="Times New Roman" w:cs="Times New Roman"/>
          <w:b/>
          <w:bCs/>
          <w:sz w:val="20"/>
          <w:szCs w:val="20"/>
        </w:rPr>
      </w:pPr>
      <w:r w:rsidRPr="00320971">
        <w:rPr>
          <w:rFonts w:ascii="Times New Roman" w:eastAsia="Calibri" w:hAnsi="Times New Roman" w:cs="Times New Roman"/>
          <w:b/>
          <w:sz w:val="28"/>
          <w:szCs w:val="28"/>
        </w:rPr>
        <w:t>Кармаскалинский район Республики Башкортостан</w:t>
      </w:r>
      <w:r w:rsidR="000E69BC" w:rsidRPr="00320971">
        <w:rPr>
          <w:rFonts w:ascii="Times New Roman" w:hAnsi="Times New Roman" w:cs="Times New Roman"/>
          <w:b/>
          <w:bCs/>
          <w:sz w:val="20"/>
          <w:szCs w:val="20"/>
        </w:rPr>
        <w:t>)</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w:t>
      </w:r>
      <w:r w:rsidRPr="00EF245B">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w:t>
      </w:r>
      <w:r w:rsidRPr="00EF245B">
        <w:rPr>
          <w:rFonts w:ascii="Times New Roman" w:hAnsi="Times New Roman" w:cs="Times New Roman"/>
          <w:color w:val="000000" w:themeColor="text1"/>
          <w:sz w:val="28"/>
          <w:szCs w:val="28"/>
        </w:rPr>
        <w:lastRenderedPageBreak/>
        <w:t xml:space="preserve">(бездействия)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8F7814">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w:t>
      </w:r>
      <w:r w:rsidR="008F7814">
        <w:rPr>
          <w:rFonts w:ascii="Times New Roman" w:hAnsi="Times New Roman"/>
          <w:color w:val="000000"/>
          <w:sz w:val="28"/>
          <w:szCs w:val="28"/>
        </w:rPr>
        <w:t xml:space="preserve">смотренные Положением </w:t>
      </w:r>
      <w:r w:rsidR="00854FBE" w:rsidRPr="00564F53">
        <w:rPr>
          <w:rFonts w:ascii="Times New Roman" w:hAnsi="Times New Roman"/>
          <w:color w:val="000000"/>
          <w:sz w:val="28"/>
          <w:szCs w:val="28"/>
        </w:rPr>
        <w:t>о государственной информационной системе «Реестр государстве</w:t>
      </w:r>
      <w:r w:rsidR="008F7814">
        <w:rPr>
          <w:rFonts w:ascii="Times New Roman" w:hAnsi="Times New Roman"/>
          <w:color w:val="000000"/>
          <w:sz w:val="28"/>
          <w:szCs w:val="28"/>
        </w:rPr>
        <w:t xml:space="preserve">нных </w:t>
      </w:r>
      <w:r w:rsidR="00854FBE" w:rsidRPr="00564F53">
        <w:rPr>
          <w:rFonts w:ascii="Times New Roman" w:hAnsi="Times New Roman"/>
          <w:color w:val="000000"/>
          <w:sz w:val="28"/>
          <w:szCs w:val="28"/>
        </w:rPr>
        <w:t>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lastRenderedPageBreak/>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6B41FA">
        <w:rPr>
          <w:rFonts w:ascii="Times New Roman" w:hAnsi="Times New Roman" w:cs="Times New Roman"/>
          <w:color w:val="000000" w:themeColor="text1"/>
          <w:sz w:val="28"/>
          <w:szCs w:val="28"/>
        </w:rPr>
        <w:lastRenderedPageBreak/>
        <w:t>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w:t>
      </w:r>
      <w:r w:rsidR="005D7061">
        <w:rPr>
          <w:rFonts w:ascii="Times New Roman" w:hAnsi="Times New Roman" w:cs="Times New Roman"/>
          <w:color w:val="000000" w:themeColor="text1"/>
          <w:sz w:val="28"/>
          <w:szCs w:val="28"/>
        </w:rPr>
        <w:lastRenderedPageBreak/>
        <w:t>земельных участков для индивидуального жилищног</w:t>
      </w:r>
      <w:r w:rsidR="008F7814">
        <w:rPr>
          <w:rFonts w:ascii="Times New Roman" w:hAnsi="Times New Roman" w:cs="Times New Roman"/>
          <w:color w:val="000000" w:themeColor="text1"/>
          <w:sz w:val="28"/>
          <w:szCs w:val="28"/>
        </w:rPr>
        <w:t xml:space="preserve">о строительства </w:t>
      </w:r>
      <w:r w:rsidR="005D7061">
        <w:rPr>
          <w:rFonts w:ascii="Times New Roman" w:hAnsi="Times New Roman" w:cs="Times New Roman"/>
          <w:color w:val="000000" w:themeColor="text1"/>
          <w:sz w:val="28"/>
          <w:szCs w:val="28"/>
        </w:rPr>
        <w:t>(</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w:t>
      </w:r>
      <w:r w:rsidRPr="002F50F8">
        <w:rPr>
          <w:rFonts w:ascii="Times New Roman" w:hAnsi="Times New Roman" w:cs="Times New Roman"/>
          <w:color w:val="000000" w:themeColor="text1"/>
          <w:sz w:val="28"/>
          <w:szCs w:val="28"/>
        </w:rPr>
        <w:lastRenderedPageBreak/>
        <w:t xml:space="preserve">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г) копия свидетельства о государственной регистрации рождения ребенка (детей), выданного компетентными органами иностранного </w:t>
      </w:r>
      <w:r w:rsidRPr="00DA1A77">
        <w:rPr>
          <w:rFonts w:ascii="Times New Roman" w:hAnsi="Times New Roman" w:cs="Times New Roman"/>
          <w:color w:val="000000" w:themeColor="text1"/>
          <w:sz w:val="28"/>
          <w:szCs w:val="28"/>
        </w:rPr>
        <w:lastRenderedPageBreak/>
        <w:t>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 xml:space="preserve">рием и регистрацию документов, снимает их копии, заверяет надлежащим образом и </w:t>
      </w:r>
      <w:r w:rsidRPr="002F50F8">
        <w:rPr>
          <w:rFonts w:ascii="Times New Roman" w:hAnsi="Times New Roman" w:cs="Times New Roman"/>
          <w:color w:val="000000" w:themeColor="text1"/>
          <w:sz w:val="28"/>
          <w:szCs w:val="28"/>
        </w:rPr>
        <w:lastRenderedPageBreak/>
        <w:t>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36EA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36EA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236EAB">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236EAB">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lastRenderedPageBreak/>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236EAB">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236EAB">
      <w:pPr>
        <w:spacing w:after="0" w:line="240" w:lineRule="auto"/>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w:t>
      </w:r>
      <w:r w:rsidR="00870C19">
        <w:rPr>
          <w:rFonts w:ascii="Times New Roman" w:eastAsia="Times New Roman" w:hAnsi="Times New Roman" w:cs="Times New Roman"/>
          <w:color w:val="000000" w:themeColor="text1"/>
          <w:sz w:val="28"/>
          <w:szCs w:val="28"/>
          <w:lang w:eastAsia="ru-RU"/>
        </w:rPr>
        <w:lastRenderedPageBreak/>
        <w:t xml:space="preserve">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3"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w:t>
      </w:r>
      <w:r w:rsidRPr="002F50F8">
        <w:rPr>
          <w:rFonts w:ascii="Times New Roman" w:hAnsi="Times New Roman" w:cs="Times New Roman"/>
          <w:color w:val="000000" w:themeColor="text1"/>
          <w:sz w:val="28"/>
          <w:szCs w:val="28"/>
        </w:rPr>
        <w:lastRenderedPageBreak/>
        <w:t>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 xml:space="preserve">ведения о государственной регистрации рождения, содержащиеся в </w:t>
      </w:r>
      <w:r w:rsidR="00966E00" w:rsidRPr="00BD1E93">
        <w:rPr>
          <w:rFonts w:ascii="Times New Roman" w:hAnsi="Times New Roman" w:cs="Times New Roman"/>
          <w:sz w:val="28"/>
          <w:szCs w:val="28"/>
        </w:rPr>
        <w:lastRenderedPageBreak/>
        <w:t>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w:t>
      </w:r>
      <w:r w:rsidR="001D08EF" w:rsidRPr="00062547">
        <w:rPr>
          <w:rFonts w:ascii="Times New Roman" w:hAnsi="Times New Roman" w:cs="Times New Roman"/>
          <w:sz w:val="28"/>
          <w:szCs w:val="28"/>
        </w:rPr>
        <w:lastRenderedPageBreak/>
        <w:t>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числе с использованием РПГУ, к рассмотрению не принимается 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sidR="00320971">
        <w:rPr>
          <w:rFonts w:ascii="Times New Roman" w:eastAsia="Times New Roman" w:hAnsi="Times New Roman"/>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lastRenderedPageBreak/>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w:t>
      </w:r>
      <w:r w:rsidRPr="004B3A8C">
        <w:rPr>
          <w:rFonts w:ascii="Times New Roman" w:hAnsi="Times New Roman" w:cs="Times New Roman"/>
          <w:sz w:val="28"/>
          <w:szCs w:val="28"/>
        </w:rPr>
        <w:lastRenderedPageBreak/>
        <w:t>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w:t>
      </w:r>
      <w:r w:rsidR="003F39F6">
        <w:rPr>
          <w:rFonts w:ascii="Times New Roman" w:hAnsi="Times New Roman" w:cs="Times New Roman"/>
          <w:color w:val="000000" w:themeColor="text1"/>
          <w:sz w:val="28"/>
          <w:szCs w:val="28"/>
        </w:rPr>
        <w:lastRenderedPageBreak/>
        <w:t xml:space="preserve">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w:t>
      </w:r>
      <w:r w:rsidRPr="002F50F8">
        <w:rPr>
          <w:rFonts w:ascii="Times New Roman" w:hAnsi="Times New Roman" w:cs="Times New Roman"/>
          <w:color w:val="000000" w:themeColor="text1"/>
          <w:sz w:val="28"/>
          <w:szCs w:val="28"/>
        </w:rPr>
        <w:lastRenderedPageBreak/>
        <w:t xml:space="preserve">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w:t>
      </w:r>
      <w:r w:rsidR="00320971">
        <w:rPr>
          <w:rFonts w:ascii="Times New Roman" w:hAnsi="Times New Roman" w:cs="Times New Roman"/>
          <w:color w:val="000000" w:themeColor="text1"/>
          <w:sz w:val="28"/>
          <w:szCs w:val="28"/>
        </w:rPr>
        <w:t xml:space="preserve">олжно позволять </w:t>
      </w:r>
      <w:r w:rsidR="007563A3" w:rsidRPr="00CD02AE">
        <w:rPr>
          <w:rFonts w:ascii="Times New Roman" w:hAnsi="Times New Roman" w:cs="Times New Roman"/>
          <w:color w:val="000000" w:themeColor="text1"/>
          <w:sz w:val="28"/>
          <w:szCs w:val="28"/>
        </w:rPr>
        <w:t>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представленные документы по составу и содержанию</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350439"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w:t>
      </w:r>
      <w:r w:rsidR="00AC202E">
        <w:rPr>
          <w:rFonts w:ascii="Times New Roman" w:eastAsia="Calibri" w:hAnsi="Times New Roman" w:cs="Times New Roman"/>
          <w:color w:val="000000" w:themeColor="text1"/>
          <w:sz w:val="28"/>
          <w:szCs w:val="28"/>
        </w:rPr>
        <w:lastRenderedPageBreak/>
        <w:t>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8F7814">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РГАУ МФЦ не вправе требовать от заявителя совершения иных действий, кроме прохождения идентификации и аутентификации в </w:t>
      </w:r>
      <w:r w:rsidRPr="002F50F8">
        <w:rPr>
          <w:rFonts w:ascii="Times New Roman" w:eastAsia="Calibri" w:hAnsi="Times New Roman" w:cs="Times New Roman"/>
          <w:color w:val="000000" w:themeColor="text1"/>
          <w:sz w:val="28"/>
          <w:szCs w:val="28"/>
        </w:rPr>
        <w:lastRenderedPageBreak/>
        <w:t>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180A1A">
        <w:rPr>
          <w:rFonts w:ascii="Times New Roman" w:eastAsia="Calibri" w:hAnsi="Times New Roman" w:cs="Times New Roman"/>
          <w:color w:val="000000" w:themeColor="text1"/>
          <w:sz w:val="28"/>
          <w:szCs w:val="28"/>
        </w:rPr>
        <w:t>в электронной форме» (далее - е</w:t>
      </w:r>
      <w:r w:rsidRPr="002F50F8">
        <w:rPr>
          <w:rFonts w:ascii="Times New Roman" w:eastAsia="Calibri" w:hAnsi="Times New Roman" w:cs="Times New Roman"/>
          <w:color w:val="000000" w:themeColor="text1"/>
          <w:sz w:val="28"/>
          <w:szCs w:val="28"/>
        </w:rPr>
        <w:t>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8F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8F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РГАУ МФЦ определяются уполномоченные</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w:t>
      </w:r>
      <w:r w:rsidRPr="002F50F8">
        <w:rPr>
          <w:rFonts w:ascii="Times New Roman" w:eastAsia="Calibri" w:hAnsi="Times New Roman" w:cs="Times New Roman"/>
          <w:b/>
          <w:color w:val="000000" w:themeColor="text1"/>
          <w:sz w:val="28"/>
          <w:szCs w:val="28"/>
        </w:rPr>
        <w:lastRenderedPageBreak/>
        <w:t xml:space="preserve">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r w:rsidR="00180A1A">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 xml:space="preserve">муниципальной услуги </w:t>
      </w:r>
      <w:r w:rsidR="00FD0638">
        <w:rPr>
          <w:rFonts w:ascii="Times New Roman" w:hAnsi="Times New Roman" w:cs="Times New Roman"/>
          <w:sz w:val="28"/>
          <w:szCs w:val="28"/>
        </w:rPr>
        <w:lastRenderedPageBreak/>
        <w:t>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236EAB" w:rsidRDefault="00236EAB"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lastRenderedPageBreak/>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регистрирует представленные заявителем заявление, а также иные </w:t>
      </w:r>
      <w:r w:rsidRPr="002F50F8">
        <w:rPr>
          <w:rFonts w:ascii="Times New Roman" w:eastAsia="Calibri" w:hAnsi="Times New Roman" w:cs="Times New Roman"/>
          <w:color w:val="000000" w:themeColor="text1"/>
          <w:sz w:val="28"/>
          <w:szCs w:val="28"/>
        </w:rPr>
        <w:lastRenderedPageBreak/>
        <w:t>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236EAB" w:rsidRPr="002F50F8" w:rsidRDefault="00236EAB"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 xml:space="preserve">Подтверждаю свое согласие, согласие представляемого мною лица на обработку </w:t>
      </w:r>
      <w:r w:rsidRPr="006A1C61">
        <w:rPr>
          <w:rFonts w:ascii="Times New Roman" w:eastAsia="Times New Roman" w:hAnsi="Times New Roman"/>
          <w:sz w:val="24"/>
          <w:szCs w:val="24"/>
          <w:lang w:eastAsia="ru-RU"/>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8F7814" w:rsidRDefault="008F7814" w:rsidP="00262956">
      <w:pPr>
        <w:spacing w:after="0" w:line="240" w:lineRule="auto"/>
        <w:ind w:firstLine="567"/>
        <w:jc w:val="both"/>
        <w:rPr>
          <w:rFonts w:ascii="Times New Roman" w:hAnsi="Times New Roman" w:cs="Times New Roman"/>
          <w:sz w:val="24"/>
          <w:szCs w:val="24"/>
        </w:rPr>
      </w:pPr>
    </w:p>
    <w:p w:rsidR="008F7814" w:rsidRDefault="008F7814" w:rsidP="00262956">
      <w:pPr>
        <w:spacing w:after="0" w:line="240" w:lineRule="auto"/>
        <w:ind w:firstLine="567"/>
        <w:jc w:val="both"/>
        <w:rPr>
          <w:rFonts w:ascii="Times New Roman" w:hAnsi="Times New Roman" w:cs="Times New Roman"/>
          <w:sz w:val="24"/>
          <w:szCs w:val="24"/>
        </w:rPr>
      </w:pPr>
    </w:p>
    <w:p w:rsidR="008F7814" w:rsidRPr="006A1C61" w:rsidRDefault="008F7814" w:rsidP="00262956">
      <w:pPr>
        <w:spacing w:after="0" w:line="240" w:lineRule="auto"/>
        <w:ind w:firstLine="567"/>
        <w:jc w:val="both"/>
        <w:rPr>
          <w:rFonts w:ascii="Times New Roman" w:hAnsi="Times New Roman" w:cs="Times New Roman"/>
          <w:sz w:val="24"/>
          <w:szCs w:val="24"/>
          <w:u w:val="single"/>
        </w:rPr>
      </w:pP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w:t>
      </w:r>
      <w:r w:rsidR="00236EAB">
        <w:rPr>
          <w:rFonts w:ascii="Times New Roman" w:hAnsi="Times New Roman" w:cs="Times New Roman"/>
          <w:sz w:val="16"/>
          <w:szCs w:val="16"/>
        </w:rPr>
        <w:t xml:space="preserve">      </w:t>
      </w:r>
      <w:r w:rsidRPr="006A1C61">
        <w:rPr>
          <w:rFonts w:ascii="Times New Roman" w:hAnsi="Times New Roman" w:cs="Times New Roman"/>
          <w:sz w:val="16"/>
          <w:szCs w:val="16"/>
        </w:rPr>
        <w:t xml:space="preserve"> (должность принявшего)           (подпись)         (расшифровка подписи )              </w:t>
      </w:r>
    </w:p>
    <w:p w:rsidR="00236EAB" w:rsidRDefault="00236EAB"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236EAB">
          <w:headerReference w:type="default" r:id="rId21"/>
          <w:pgSz w:w="11906" w:h="16838"/>
          <w:pgMar w:top="567" w:right="849" w:bottom="567"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3"/>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3"/>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датирование);</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r>
              <w:rPr>
                <w:sz w:val="24"/>
              </w:rPr>
              <w:t xml:space="preserve">лица </w:t>
            </w:r>
            <w:r>
              <w:rPr>
                <w:sz w:val="24"/>
                <w:lang w:val="ru-RU"/>
              </w:rPr>
              <w:t xml:space="preserve">Администарции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посредством</w:t>
            </w:r>
            <w:r>
              <w:rPr>
                <w:spacing w:val="5"/>
                <w:sz w:val="24"/>
              </w:rPr>
              <w:t xml:space="preserve"> </w:t>
            </w:r>
            <w:r>
              <w:rPr>
                <w:spacing w:val="-2"/>
                <w:sz w:val="24"/>
              </w:rPr>
              <w:t>Портала</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муниципальных</w:t>
            </w:r>
            <w:r>
              <w:rPr>
                <w:spacing w:val="7"/>
                <w:sz w:val="24"/>
              </w:rPr>
              <w:t xml:space="preserve"> </w:t>
            </w:r>
            <w:r>
              <w:rPr>
                <w:spacing w:val="-4"/>
                <w:sz w:val="24"/>
              </w:rPr>
              <w:t>услуг</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2961" w:type="dxa"/>
            <w:tcBorders>
              <w:top w:val="nil"/>
              <w:bottom w:val="nil"/>
            </w:tcBorders>
          </w:tcPr>
          <w:p w:rsidR="00520F30" w:rsidRDefault="00520F30" w:rsidP="00520F30">
            <w:pPr>
              <w:pStyle w:val="TableParagraph"/>
              <w:spacing w:line="256" w:lineRule="exact"/>
              <w:ind w:left="141"/>
              <w:rPr>
                <w:sz w:val="24"/>
              </w:rPr>
            </w:pPr>
            <w:r>
              <w:rPr>
                <w:spacing w:val="-2"/>
                <w:sz w:val="24"/>
              </w:rPr>
              <w:t>предоставление</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(функций)</w:t>
            </w:r>
            <w:r>
              <w:rPr>
                <w:spacing w:val="2"/>
                <w:sz w:val="24"/>
              </w:rPr>
              <w:t xml:space="preserve"> </w:t>
            </w:r>
            <w:r>
              <w:rPr>
                <w:spacing w:val="-2"/>
                <w:sz w:val="24"/>
              </w:rPr>
              <w:t>Республики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Башкортостан</w:t>
            </w:r>
            <w:r>
              <w:rPr>
                <w:spacing w:val="6"/>
                <w:sz w:val="24"/>
              </w:rPr>
              <w:t xml:space="preserve"> </w:t>
            </w:r>
            <w:r>
              <w:rPr>
                <w:sz w:val="24"/>
              </w:rPr>
              <w:t>(далее</w:t>
            </w:r>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r>
              <w:rPr>
                <w:spacing w:val="-2"/>
                <w:sz w:val="24"/>
              </w:rPr>
              <w:t>документов;</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2961" w:type="dxa"/>
            <w:tcBorders>
              <w:top w:val="nil"/>
              <w:bottom w:val="nil"/>
            </w:tcBorders>
          </w:tcPr>
          <w:p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r>
              <w:rPr>
                <w:spacing w:val="-2"/>
                <w:sz w:val="24"/>
              </w:rPr>
              <w:t xml:space="preserve">Административному </w:t>
            </w:r>
            <w:r>
              <w:rPr>
                <w:sz w:val="24"/>
              </w:rPr>
              <w:t>регламенту, которое</w:t>
            </w:r>
          </w:p>
          <w:p w:rsidR="00520F30" w:rsidRDefault="00520F30" w:rsidP="00520F30">
            <w:pPr>
              <w:pStyle w:val="TableParagraph"/>
              <w:ind w:left="141"/>
              <w:rPr>
                <w:sz w:val="24"/>
              </w:rPr>
            </w:pPr>
            <w:r>
              <w:rPr>
                <w:sz w:val="24"/>
              </w:rPr>
              <w:t>вручается незамедлительно заявителю</w:t>
            </w:r>
            <w:r>
              <w:rPr>
                <w:spacing w:val="4"/>
                <w:sz w:val="24"/>
              </w:rPr>
              <w:t xml:space="preserve"> </w:t>
            </w:r>
            <w:r>
              <w:rPr>
                <w:spacing w:val="-2"/>
                <w:sz w:val="24"/>
              </w:rPr>
              <w:t>(представителю);</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 xml:space="preserve">Пакет зарегистрирован- </w:t>
            </w:r>
            <w:r w:rsidRPr="00F424A4">
              <w:rPr>
                <w:sz w:val="24"/>
                <w:lang w:val="ru-RU"/>
              </w:rPr>
              <w:t>ных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1 рабочий</w:t>
            </w:r>
            <w:r>
              <w:rPr>
                <w:spacing w:val="2"/>
                <w:sz w:val="24"/>
              </w:rPr>
              <w:t xml:space="preserve"> </w:t>
            </w:r>
            <w:r>
              <w:rPr>
                <w:spacing w:val="-4"/>
                <w:sz w:val="24"/>
              </w:rPr>
              <w:t>день</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r>
              <w:rPr>
                <w:spacing w:val="-2"/>
                <w:sz w:val="24"/>
              </w:rPr>
              <w:t>Административного регламента</w:t>
            </w:r>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r>
              <w:rPr>
                <w:spacing w:val="-2"/>
                <w:sz w:val="24"/>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зарегистрирова </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r>
              <w:rPr>
                <w:spacing w:val="-2"/>
                <w:sz w:val="24"/>
              </w:rPr>
              <w:t>услуги</w:t>
            </w:r>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межведомствен </w:t>
            </w:r>
            <w:r w:rsidRPr="00F424A4">
              <w:rPr>
                <w:sz w:val="24"/>
                <w:lang w:val="ru-RU"/>
              </w:rPr>
              <w:t xml:space="preserve">ных запросов в орган или </w:t>
            </w:r>
            <w:r w:rsidRPr="00F424A4">
              <w:rPr>
                <w:spacing w:val="-2"/>
                <w:sz w:val="24"/>
                <w:lang w:val="ru-RU"/>
              </w:rPr>
              <w:t xml:space="preserve">организацию, предоставляющ </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законодательст </w:t>
            </w:r>
            <w:r w:rsidRPr="00F424A4">
              <w:rPr>
                <w:sz w:val="24"/>
                <w:lang w:val="ru-RU"/>
              </w:rPr>
              <w:t>вом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r>
              <w:rPr>
                <w:sz w:val="24"/>
              </w:rPr>
              <w:t>предоставления в собственность</w:t>
            </w:r>
            <w:r>
              <w:rPr>
                <w:spacing w:val="-15"/>
                <w:sz w:val="24"/>
              </w:rPr>
              <w:t xml:space="preserve"> </w:t>
            </w:r>
            <w:r>
              <w:rPr>
                <w:sz w:val="24"/>
              </w:rPr>
              <w:t>граждан</w:t>
            </w:r>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897F9D">
        <w:trPr>
          <w:trHeight w:val="7081"/>
        </w:trPr>
        <w:tc>
          <w:tcPr>
            <w:tcW w:w="2415" w:type="dxa"/>
          </w:tcPr>
          <w:p w:rsidR="00F424A4" w:rsidRDefault="00F424A4" w:rsidP="00E67C1C">
            <w:pPr>
              <w:pStyle w:val="TableParagraph"/>
              <w:ind w:left="146"/>
              <w:rPr>
                <w:sz w:val="24"/>
              </w:rPr>
            </w:pPr>
            <w:r>
              <w:rPr>
                <w:spacing w:val="-2"/>
                <w:sz w:val="24"/>
              </w:rPr>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r>
              <w:rPr>
                <w:spacing w:val="-2"/>
                <w:sz w:val="24"/>
              </w:rPr>
              <w:t>документов</w:t>
            </w:r>
          </w:p>
        </w:tc>
        <w:tc>
          <w:tcPr>
            <w:tcW w:w="2413" w:type="dxa"/>
          </w:tcPr>
          <w:p w:rsidR="00F424A4" w:rsidRDefault="00F424A4" w:rsidP="00E67C1C">
            <w:pPr>
              <w:pStyle w:val="TableParagraph"/>
              <w:spacing w:line="268" w:lineRule="exact"/>
              <w:ind w:left="145"/>
              <w:rPr>
                <w:sz w:val="24"/>
              </w:rPr>
            </w:pPr>
            <w:r>
              <w:rPr>
                <w:spacing w:val="-2"/>
                <w:sz w:val="24"/>
              </w:rPr>
              <w:t>Комиссия</w:t>
            </w:r>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3"/>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r>
              <w:rPr>
                <w:spacing w:val="-2"/>
                <w:sz w:val="24"/>
              </w:rPr>
              <w:t>учет)</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Pr="00F424A4">
              <w:rPr>
                <w:spacing w:val="-2"/>
                <w:sz w:val="24"/>
                <w:lang w:val="ru-RU"/>
              </w:rPr>
              <w:t xml:space="preserve">несовершеннол </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p>
          <w:p w:rsidR="00F424A4" w:rsidRPr="00F424A4" w:rsidRDefault="00897F9D" w:rsidP="00897F9D">
            <w:pPr>
              <w:pStyle w:val="TableParagraph"/>
              <w:spacing w:line="264" w:lineRule="exact"/>
              <w:ind w:left="143"/>
              <w:rPr>
                <w:sz w:val="24"/>
                <w:lang w:val="ru-RU"/>
              </w:rPr>
            </w:pPr>
            <w:r>
              <w:rPr>
                <w:sz w:val="24"/>
              </w:rPr>
              <w:t xml:space="preserve">ых жилищным </w:t>
            </w:r>
            <w:r>
              <w:rPr>
                <w:spacing w:val="-2"/>
                <w:sz w:val="24"/>
              </w:rPr>
              <w:t>законодательст</w:t>
            </w:r>
            <w:r w:rsidR="00F0209D">
              <w:rPr>
                <w:spacing w:val="-4"/>
                <w:sz w:val="24"/>
              </w:rPr>
              <w:t xml:space="preserve"> вом)</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3"/>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lastRenderedPageBreak/>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3"/>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3"/>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CFC7"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3"/>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2C79"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3"/>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0FC8"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3"/>
        <w:spacing w:after="0" w:line="240" w:lineRule="auto"/>
        <w:ind w:left="510" w:right="525"/>
        <w:jc w:val="center"/>
        <w:rPr>
          <w:sz w:val="20"/>
          <w:szCs w:val="20"/>
        </w:rPr>
      </w:pPr>
    </w:p>
    <w:p w:rsidR="00D96E4A" w:rsidRDefault="00D96E4A" w:rsidP="00D96E4A">
      <w:pPr>
        <w:pStyle w:val="af3"/>
        <w:spacing w:after="0" w:line="240" w:lineRule="auto"/>
        <w:ind w:left="510" w:right="525"/>
        <w:jc w:val="center"/>
        <w:rPr>
          <w:sz w:val="20"/>
          <w:szCs w:val="20"/>
        </w:rPr>
      </w:pPr>
    </w:p>
    <w:p w:rsidR="00D96E4A" w:rsidRPr="003D610D" w:rsidRDefault="00D96E4A" w:rsidP="00D96E4A">
      <w:pPr>
        <w:pStyle w:val="af3"/>
        <w:spacing w:after="0" w:line="240" w:lineRule="auto"/>
        <w:ind w:left="510" w:right="525"/>
        <w:jc w:val="center"/>
        <w:rPr>
          <w:sz w:val="20"/>
          <w:szCs w:val="20"/>
        </w:rPr>
      </w:pPr>
    </w:p>
    <w:p w:rsidR="00D96E4A" w:rsidRPr="00D96E4A" w:rsidRDefault="00D96E4A" w:rsidP="00D96E4A">
      <w:pPr>
        <w:pStyle w:val="af3"/>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3"/>
        <w:spacing w:after="0" w:line="240" w:lineRule="auto"/>
        <w:ind w:left="510" w:right="525"/>
        <w:jc w:val="center"/>
        <w:rPr>
          <w:rFonts w:ascii="Times New Roman" w:hAnsi="Times New Roman" w:cs="Times New Roman"/>
          <w:sz w:val="24"/>
          <w:szCs w:val="24"/>
        </w:rPr>
      </w:pPr>
    </w:p>
    <w:p w:rsidR="00D96E4A" w:rsidRDefault="00D96E4A" w:rsidP="00D96E4A">
      <w:pPr>
        <w:pStyle w:val="af3"/>
        <w:spacing w:after="0" w:line="240" w:lineRule="auto"/>
        <w:ind w:left="510" w:right="525"/>
        <w:jc w:val="center"/>
        <w:rPr>
          <w:sz w:val="20"/>
          <w:szCs w:val="20"/>
        </w:rPr>
      </w:pPr>
    </w:p>
    <w:p w:rsidR="00D96E4A" w:rsidRPr="00835E42" w:rsidRDefault="00D96E4A" w:rsidP="00D96E4A">
      <w:pPr>
        <w:pStyle w:val="af3"/>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C8F3"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9C64"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DABB"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3"/>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3"/>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3"/>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3"/>
        <w:tabs>
          <w:tab w:val="left" w:pos="7384"/>
          <w:tab w:val="left" w:pos="7947"/>
          <w:tab w:val="left" w:pos="9340"/>
          <w:tab w:val="left" w:pos="9971"/>
        </w:tabs>
        <w:spacing w:after="0" w:line="240" w:lineRule="auto"/>
        <w:rPr>
          <w:sz w:val="20"/>
          <w:szCs w:val="20"/>
          <w:u w:val="single"/>
        </w:rPr>
      </w:pPr>
    </w:p>
    <w:p w:rsidR="00D96E4A" w:rsidRDefault="00D96E4A"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7C5E68" w:rsidRDefault="007C5E68" w:rsidP="00D96E4A">
      <w:pPr>
        <w:pStyle w:val="af3"/>
        <w:tabs>
          <w:tab w:val="left" w:pos="7384"/>
          <w:tab w:val="left" w:pos="7947"/>
          <w:tab w:val="left" w:pos="9340"/>
          <w:tab w:val="left" w:pos="9971"/>
        </w:tabs>
        <w:rPr>
          <w:sz w:val="20"/>
          <w:szCs w:val="20"/>
          <w:u w:val="single"/>
        </w:rPr>
      </w:pPr>
    </w:p>
    <w:p w:rsidR="00D96E4A" w:rsidRDefault="00D96E4A" w:rsidP="00D96E4A">
      <w:pPr>
        <w:pStyle w:val="af3"/>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39" w:rsidRDefault="00350439">
      <w:pPr>
        <w:spacing w:after="0" w:line="240" w:lineRule="auto"/>
      </w:pPr>
      <w:r>
        <w:separator/>
      </w:r>
    </w:p>
  </w:endnote>
  <w:endnote w:type="continuationSeparator" w:id="0">
    <w:p w:rsidR="00350439" w:rsidRDefault="0035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39" w:rsidRDefault="00350439">
      <w:pPr>
        <w:spacing w:after="0" w:line="240" w:lineRule="auto"/>
      </w:pPr>
      <w:r>
        <w:separator/>
      </w:r>
    </w:p>
  </w:footnote>
  <w:footnote w:type="continuationSeparator" w:id="0">
    <w:p w:rsidR="00350439" w:rsidRDefault="0035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3890"/>
      <w:docPartObj>
        <w:docPartGallery w:val="Page Numbers (Top of Page)"/>
        <w:docPartUnique/>
      </w:docPartObj>
    </w:sdtPr>
    <w:sdtEndPr/>
    <w:sdtContent>
      <w:p w:rsidR="00236EAB" w:rsidRDefault="00236EA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B1EA5">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236EAB" w:rsidRDefault="00236EA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AB" w:rsidRDefault="00236EAB">
    <w:pPr>
      <w:pStyle w:val="af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AB" w:rsidRDefault="00236E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B1EA5">
                            <w:rPr>
                              <w:noProof/>
                              <w:spacing w:val="-5"/>
                              <w:sz w:val="24"/>
                            </w:rPr>
                            <w:t>49</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236EAB" w:rsidRDefault="00236E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B1EA5">
                      <w:rPr>
                        <w:noProof/>
                        <w:spacing w:val="-5"/>
                        <w:sz w:val="24"/>
                      </w:rPr>
                      <w:t>49</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AB" w:rsidRDefault="00236EAB">
    <w:pPr>
      <w:pStyle w:val="af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AB" w:rsidRDefault="00236E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B1EA5">
                            <w:rPr>
                              <w:noProof/>
                              <w:spacing w:val="-5"/>
                              <w:sz w:val="24"/>
                            </w:rPr>
                            <w:t>50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236EAB" w:rsidRDefault="00236EA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B1EA5">
                      <w:rPr>
                        <w:noProof/>
                        <w:spacing w:val="-5"/>
                        <w:sz w:val="24"/>
                      </w:rPr>
                      <w:t>50</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0A1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6EAB"/>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20971"/>
    <w:rsid w:val="003312ED"/>
    <w:rsid w:val="00342CF9"/>
    <w:rsid w:val="003449A6"/>
    <w:rsid w:val="003462F0"/>
    <w:rsid w:val="003476F4"/>
    <w:rsid w:val="00350439"/>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1EA5"/>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179BC"/>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8F7814"/>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7676D"/>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67B3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66062"/>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4AC9C-C3E6-4520-B9F9-E1B49190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link w:val="af2"/>
    <w:uiPriority w:val="1"/>
    <w:qFormat/>
    <w:rsid w:val="000E69BC"/>
    <w:pPr>
      <w:spacing w:after="0" w:line="240" w:lineRule="auto"/>
    </w:pPr>
    <w:rPr>
      <w:rFonts w:ascii="Calibri" w:eastAsia="Calibri" w:hAnsi="Calibri" w:cs="Times New Roman"/>
    </w:rPr>
  </w:style>
  <w:style w:type="paragraph" w:styleId="af3">
    <w:name w:val="Body Text"/>
    <w:basedOn w:val="a"/>
    <w:link w:val="af4"/>
    <w:uiPriority w:val="1"/>
    <w:unhideWhenUsed/>
    <w:qFormat/>
    <w:rsid w:val="001E01B7"/>
    <w:pPr>
      <w:spacing w:after="120"/>
    </w:pPr>
  </w:style>
  <w:style w:type="character" w:customStyle="1" w:styleId="af4">
    <w:name w:val="Основной текст Знак"/>
    <w:basedOn w:val="a0"/>
    <w:link w:val="af3"/>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af2">
    <w:name w:val="Без интервала Знак"/>
    <w:link w:val="af1"/>
    <w:uiPriority w:val="1"/>
    <w:locked/>
    <w:rsid w:val="003209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0936">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C807-F5F9-402D-9906-C38DE5F4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17190</Words>
  <Characters>97983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8</cp:revision>
  <cp:lastPrinted>2022-04-22T11:04:00Z</cp:lastPrinted>
  <dcterms:created xsi:type="dcterms:W3CDTF">2022-04-11T11:35:00Z</dcterms:created>
  <dcterms:modified xsi:type="dcterms:W3CDTF">2022-04-28T12:34:00Z</dcterms:modified>
</cp:coreProperties>
</file>